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刘二利</w:t>
      </w:r>
      <w:r>
        <w:rPr>
          <w:rFonts w:hint="eastAsia"/>
          <w:sz w:val="15"/>
          <w:szCs w:val="15"/>
          <w:highlight w:val="none"/>
        </w:rPr>
        <w:t>，</w:t>
      </w:r>
      <w:r>
        <w:rPr>
          <w:rFonts w:hint="eastAsia"/>
          <w:sz w:val="15"/>
          <w:szCs w:val="15"/>
          <w:highlight w:val="none"/>
          <w:lang w:val="en-US" w:eastAsia="zh-CN"/>
        </w:rPr>
        <w:t>13013119811103121X</w:t>
      </w:r>
      <w:r>
        <w:rPr>
          <w:rFonts w:hint="eastAsia"/>
          <w:sz w:val="15"/>
          <w:szCs w:val="15"/>
        </w:rPr>
        <w:t xml:space="preserve">  </w:t>
      </w:r>
      <w:r>
        <w:rPr>
          <w:rFonts w:hint="eastAsia"/>
          <w:sz w:val="15"/>
          <w:szCs w:val="15"/>
          <w:lang w:val="en-US" w:eastAsia="zh-CN"/>
        </w:rPr>
        <w:t>冀A758QK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