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王红伟</w:t>
      </w:r>
      <w:r>
        <w:rPr>
          <w:rFonts w:hint="eastAsia"/>
          <w:sz w:val="15"/>
          <w:szCs w:val="15"/>
          <w:highlight w:val="none"/>
        </w:rPr>
        <w:t>，</w:t>
      </w:r>
      <w:r>
        <w:rPr>
          <w:rFonts w:hint="eastAsia"/>
          <w:sz w:val="15"/>
          <w:szCs w:val="15"/>
          <w:highlight w:val="none"/>
          <w:lang w:val="en-US" w:eastAsia="zh-CN"/>
        </w:rPr>
        <w:t>130131198102254518</w:t>
      </w:r>
      <w:r>
        <w:rPr>
          <w:rFonts w:hint="eastAsia"/>
          <w:sz w:val="15"/>
          <w:szCs w:val="15"/>
        </w:rPr>
        <w:t xml:space="preserve">  </w:t>
      </w:r>
      <w:r>
        <w:rPr>
          <w:rFonts w:hint="eastAsia"/>
          <w:sz w:val="15"/>
          <w:szCs w:val="15"/>
          <w:lang w:val="en-US" w:eastAsia="zh-CN"/>
        </w:rPr>
        <w:t>冀A9579V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