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纪月芹</w:t>
      </w:r>
      <w:r>
        <w:rPr>
          <w:rFonts w:hint="eastAsia"/>
          <w:sz w:val="15"/>
          <w:szCs w:val="15"/>
          <w:highlight w:val="none"/>
        </w:rPr>
        <w:t>，</w:t>
      </w:r>
      <w:r>
        <w:rPr>
          <w:rFonts w:hint="eastAsia"/>
          <w:sz w:val="15"/>
          <w:szCs w:val="15"/>
          <w:highlight w:val="none"/>
          <w:lang w:val="en-US" w:eastAsia="zh-CN"/>
        </w:rPr>
        <w:t>130131197903151522</w:t>
      </w:r>
      <w:r>
        <w:rPr>
          <w:rFonts w:hint="eastAsia"/>
          <w:sz w:val="15"/>
          <w:szCs w:val="15"/>
        </w:rPr>
        <w:t xml:space="preserve">  </w:t>
      </w:r>
      <w:r>
        <w:rPr>
          <w:rFonts w:hint="eastAsia"/>
          <w:sz w:val="15"/>
          <w:szCs w:val="15"/>
          <w:lang w:val="en-US" w:eastAsia="zh-CN"/>
        </w:rPr>
        <w:t>冀A7198Z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