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孙二强</w:t>
      </w:r>
      <w:r>
        <w:rPr>
          <w:rFonts w:hint="eastAsia"/>
          <w:sz w:val="15"/>
          <w:szCs w:val="15"/>
          <w:highlight w:val="none"/>
        </w:rPr>
        <w:t>，</w:t>
      </w:r>
      <w:r>
        <w:rPr>
          <w:rFonts w:hint="eastAsia"/>
          <w:sz w:val="15"/>
          <w:szCs w:val="15"/>
          <w:highlight w:val="none"/>
          <w:lang w:val="en-US" w:eastAsia="zh-CN"/>
        </w:rPr>
        <w:t>130131197812035710</w:t>
      </w:r>
      <w:r>
        <w:rPr>
          <w:rFonts w:hint="eastAsia"/>
          <w:sz w:val="15"/>
          <w:szCs w:val="15"/>
        </w:rPr>
        <w:t xml:space="preserve">  </w:t>
      </w:r>
      <w:r>
        <w:rPr>
          <w:rFonts w:hint="eastAsia"/>
          <w:sz w:val="15"/>
          <w:szCs w:val="15"/>
          <w:lang w:val="en-US" w:eastAsia="zh-CN"/>
        </w:rPr>
        <w:t>冀ABC792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