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张国宾</w:t>
      </w:r>
      <w:r>
        <w:rPr>
          <w:rFonts w:hint="eastAsia"/>
          <w:sz w:val="15"/>
          <w:szCs w:val="15"/>
          <w:highlight w:val="none"/>
        </w:rPr>
        <w:t>，</w:t>
      </w:r>
      <w:r>
        <w:rPr>
          <w:rFonts w:hint="eastAsia"/>
          <w:sz w:val="15"/>
          <w:szCs w:val="15"/>
          <w:highlight w:val="none"/>
          <w:lang w:val="en-US" w:eastAsia="zh-CN"/>
        </w:rPr>
        <w:t>130129199106041010</w:t>
      </w:r>
      <w:r>
        <w:rPr>
          <w:rFonts w:hint="eastAsia"/>
          <w:sz w:val="15"/>
          <w:szCs w:val="15"/>
        </w:rPr>
        <w:t xml:space="preserve">  </w:t>
      </w:r>
      <w:r>
        <w:rPr>
          <w:rFonts w:hint="eastAsia"/>
          <w:sz w:val="15"/>
          <w:szCs w:val="15"/>
          <w:lang w:val="en-US" w:eastAsia="zh-CN"/>
        </w:rPr>
        <w:t>冀A30103D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