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张佳霖</w:t>
      </w:r>
      <w:r>
        <w:rPr>
          <w:rFonts w:hint="eastAsia"/>
          <w:sz w:val="15"/>
          <w:szCs w:val="15"/>
          <w:highlight w:val="none"/>
        </w:rPr>
        <w:t>，</w:t>
      </w:r>
      <w:r>
        <w:rPr>
          <w:rFonts w:hint="eastAsia"/>
          <w:sz w:val="15"/>
          <w:szCs w:val="15"/>
          <w:highlight w:val="none"/>
          <w:lang w:val="en-US" w:eastAsia="zh-CN"/>
        </w:rPr>
        <w:t>130128200401032116</w:t>
      </w:r>
      <w:r>
        <w:rPr>
          <w:rFonts w:hint="eastAsia"/>
          <w:sz w:val="15"/>
          <w:szCs w:val="15"/>
        </w:rPr>
        <w:t xml:space="preserve">  </w:t>
      </w:r>
      <w:r>
        <w:rPr>
          <w:rFonts w:hint="eastAsia"/>
          <w:sz w:val="15"/>
          <w:szCs w:val="15"/>
          <w:lang w:val="en-US" w:eastAsia="zh-CN"/>
        </w:rPr>
        <w:t>冀AL4383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