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杜文倩</w:t>
      </w:r>
      <w:r>
        <w:rPr>
          <w:rFonts w:hint="eastAsia"/>
          <w:sz w:val="15"/>
          <w:szCs w:val="15"/>
          <w:highlight w:val="none"/>
        </w:rPr>
        <w:t>，</w:t>
      </w:r>
      <w:r>
        <w:rPr>
          <w:rFonts w:hint="eastAsia"/>
          <w:sz w:val="15"/>
          <w:szCs w:val="15"/>
          <w:highlight w:val="none"/>
          <w:lang w:val="en-US" w:eastAsia="zh-CN"/>
        </w:rPr>
        <w:t>130128199705052129</w:t>
      </w:r>
      <w:r>
        <w:rPr>
          <w:rFonts w:hint="eastAsia"/>
          <w:sz w:val="15"/>
          <w:szCs w:val="15"/>
        </w:rPr>
        <w:t xml:space="preserve">  </w:t>
      </w:r>
      <w:r>
        <w:rPr>
          <w:rFonts w:hint="eastAsia"/>
          <w:sz w:val="15"/>
          <w:szCs w:val="15"/>
          <w:lang w:val="en-US" w:eastAsia="zh-CN"/>
        </w:rPr>
        <w:t>冀A06Q52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