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刘亚之</w:t>
      </w:r>
      <w:r>
        <w:rPr>
          <w:rFonts w:hint="eastAsia"/>
          <w:sz w:val="15"/>
          <w:szCs w:val="15"/>
          <w:highlight w:val="none"/>
        </w:rPr>
        <w:t>，</w:t>
      </w:r>
      <w:r>
        <w:rPr>
          <w:rFonts w:hint="eastAsia"/>
          <w:sz w:val="15"/>
          <w:szCs w:val="15"/>
          <w:highlight w:val="none"/>
          <w:lang w:val="en-US" w:eastAsia="zh-CN"/>
        </w:rPr>
        <w:t>130128197607061823</w:t>
      </w:r>
      <w:r>
        <w:rPr>
          <w:rFonts w:hint="eastAsia"/>
          <w:sz w:val="15"/>
          <w:szCs w:val="15"/>
        </w:rPr>
        <w:t xml:space="preserve">  </w:t>
      </w:r>
      <w:r>
        <w:rPr>
          <w:rFonts w:hint="eastAsia"/>
          <w:sz w:val="15"/>
          <w:szCs w:val="15"/>
          <w:lang w:val="en-US" w:eastAsia="zh-CN"/>
        </w:rPr>
        <w:t>冀A581ZW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