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索子杨</w:t>
      </w:r>
      <w:r>
        <w:rPr>
          <w:rFonts w:hint="eastAsia"/>
          <w:sz w:val="15"/>
          <w:szCs w:val="15"/>
          <w:highlight w:val="none"/>
        </w:rPr>
        <w:t>，</w:t>
      </w:r>
      <w:r>
        <w:rPr>
          <w:rFonts w:hint="eastAsia"/>
          <w:sz w:val="15"/>
          <w:szCs w:val="15"/>
          <w:highlight w:val="none"/>
          <w:lang w:val="en-US" w:eastAsia="zh-CN"/>
        </w:rPr>
        <w:t>13012620070214301X</w:t>
      </w:r>
      <w:r>
        <w:rPr>
          <w:rFonts w:hint="eastAsia"/>
          <w:sz w:val="15"/>
          <w:szCs w:val="15"/>
        </w:rPr>
        <w:t xml:space="preserve">  </w:t>
      </w:r>
      <w:r>
        <w:rPr>
          <w:rFonts w:hint="eastAsia"/>
          <w:sz w:val="15"/>
          <w:szCs w:val="15"/>
          <w:lang w:val="en-US" w:eastAsia="zh-CN"/>
        </w:rPr>
        <w:t>冀AVD191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