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张婷钰</w:t>
      </w:r>
      <w:r>
        <w:rPr>
          <w:rFonts w:hint="eastAsia"/>
          <w:sz w:val="15"/>
          <w:szCs w:val="15"/>
          <w:highlight w:val="none"/>
        </w:rPr>
        <w:t>，</w:t>
      </w:r>
      <w:r>
        <w:rPr>
          <w:rFonts w:hint="eastAsia"/>
          <w:sz w:val="15"/>
          <w:szCs w:val="15"/>
          <w:highlight w:val="none"/>
          <w:lang w:val="en-US" w:eastAsia="zh-CN"/>
        </w:rPr>
        <w:t>130126200511163042</w:t>
      </w:r>
      <w:r>
        <w:rPr>
          <w:rFonts w:hint="eastAsia"/>
          <w:sz w:val="15"/>
          <w:szCs w:val="15"/>
        </w:rPr>
        <w:t xml:space="preserve">  </w:t>
      </w:r>
      <w:r>
        <w:rPr>
          <w:rFonts w:hint="eastAsia"/>
          <w:sz w:val="15"/>
          <w:szCs w:val="15"/>
          <w:lang w:val="en-US" w:eastAsia="zh-CN"/>
        </w:rPr>
        <w:t>冀A965RH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