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闫佳一</w:t>
      </w:r>
      <w:r>
        <w:rPr>
          <w:rFonts w:hint="eastAsia"/>
          <w:sz w:val="15"/>
          <w:szCs w:val="15"/>
          <w:highlight w:val="none"/>
        </w:rPr>
        <w:t>，</w:t>
      </w:r>
      <w:r>
        <w:rPr>
          <w:rFonts w:hint="eastAsia"/>
          <w:sz w:val="15"/>
          <w:szCs w:val="15"/>
          <w:highlight w:val="none"/>
          <w:lang w:val="en-US" w:eastAsia="zh-CN"/>
        </w:rPr>
        <w:t>130126200510310610</w:t>
      </w:r>
      <w:r>
        <w:rPr>
          <w:rFonts w:hint="eastAsia"/>
          <w:sz w:val="15"/>
          <w:szCs w:val="15"/>
        </w:rPr>
        <w:t xml:space="preserve">  </w:t>
      </w:r>
      <w:r>
        <w:rPr>
          <w:rFonts w:hint="eastAsia"/>
          <w:sz w:val="15"/>
          <w:szCs w:val="15"/>
          <w:lang w:val="en-US" w:eastAsia="zh-CN"/>
        </w:rPr>
        <w:t>冀A814Y0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