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耿红博</w:t>
      </w:r>
      <w:r>
        <w:rPr>
          <w:rFonts w:hint="eastAsia"/>
          <w:sz w:val="15"/>
          <w:szCs w:val="15"/>
          <w:highlight w:val="none"/>
        </w:rPr>
        <w:t>，</w:t>
      </w:r>
      <w:r>
        <w:rPr>
          <w:rFonts w:hint="eastAsia"/>
          <w:sz w:val="15"/>
          <w:szCs w:val="15"/>
          <w:highlight w:val="none"/>
          <w:lang w:val="en-US" w:eastAsia="zh-CN"/>
        </w:rPr>
        <w:t>13012620040308091X</w:t>
      </w:r>
      <w:r>
        <w:rPr>
          <w:rFonts w:hint="eastAsia"/>
          <w:sz w:val="15"/>
          <w:szCs w:val="15"/>
        </w:rPr>
        <w:t xml:space="preserve">  </w:t>
      </w:r>
      <w:r>
        <w:rPr>
          <w:rFonts w:hint="eastAsia"/>
          <w:sz w:val="15"/>
          <w:szCs w:val="15"/>
          <w:lang w:val="en-US" w:eastAsia="zh-CN"/>
        </w:rPr>
        <w:t>冀AJ8004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