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赵晨旭</w:t>
      </w:r>
      <w:r>
        <w:rPr>
          <w:rFonts w:hint="eastAsia"/>
          <w:sz w:val="15"/>
          <w:szCs w:val="15"/>
          <w:highlight w:val="none"/>
        </w:rPr>
        <w:t>，</w:t>
      </w:r>
      <w:r>
        <w:rPr>
          <w:rFonts w:hint="eastAsia"/>
          <w:sz w:val="15"/>
          <w:szCs w:val="15"/>
          <w:highlight w:val="none"/>
          <w:lang w:val="en-US" w:eastAsia="zh-CN"/>
        </w:rPr>
        <w:t>13012619961219001X</w:t>
      </w:r>
      <w:r>
        <w:rPr>
          <w:rFonts w:hint="eastAsia"/>
          <w:sz w:val="15"/>
          <w:szCs w:val="15"/>
        </w:rPr>
        <w:t xml:space="preserve">  </w:t>
      </w:r>
      <w:r>
        <w:rPr>
          <w:rFonts w:hint="eastAsia"/>
          <w:sz w:val="15"/>
          <w:szCs w:val="15"/>
          <w:lang w:val="en-US" w:eastAsia="zh-CN"/>
        </w:rPr>
        <w:t>冀A36989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