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刘如月</w:t>
      </w:r>
      <w:r>
        <w:rPr>
          <w:rFonts w:hint="eastAsia"/>
          <w:sz w:val="15"/>
          <w:szCs w:val="15"/>
          <w:highlight w:val="none"/>
        </w:rPr>
        <w:t>，</w:t>
      </w:r>
      <w:r>
        <w:rPr>
          <w:rFonts w:hint="eastAsia"/>
          <w:sz w:val="15"/>
          <w:szCs w:val="15"/>
          <w:highlight w:val="none"/>
          <w:lang w:val="en-US" w:eastAsia="zh-CN"/>
        </w:rPr>
        <w:t>130126199509220946</w:t>
      </w:r>
      <w:r>
        <w:rPr>
          <w:rFonts w:hint="eastAsia"/>
          <w:sz w:val="15"/>
          <w:szCs w:val="15"/>
        </w:rPr>
        <w:t xml:space="preserve">  </w:t>
      </w:r>
      <w:r>
        <w:rPr>
          <w:rFonts w:hint="eastAsia"/>
          <w:sz w:val="15"/>
          <w:szCs w:val="15"/>
          <w:lang w:val="en-US" w:eastAsia="zh-CN"/>
        </w:rPr>
        <w:t>冀A34767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