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李卜卜</w:t>
      </w:r>
      <w:r>
        <w:rPr>
          <w:rFonts w:hint="eastAsia"/>
          <w:sz w:val="15"/>
          <w:szCs w:val="15"/>
          <w:highlight w:val="none"/>
        </w:rPr>
        <w:t>，</w:t>
      </w:r>
      <w:r>
        <w:rPr>
          <w:rFonts w:hint="eastAsia"/>
          <w:sz w:val="15"/>
          <w:szCs w:val="15"/>
          <w:highlight w:val="none"/>
          <w:lang w:val="en-US" w:eastAsia="zh-CN"/>
        </w:rPr>
        <w:t>130126199503301817</w:t>
      </w:r>
      <w:r>
        <w:rPr>
          <w:rFonts w:hint="eastAsia"/>
          <w:sz w:val="15"/>
          <w:szCs w:val="15"/>
        </w:rPr>
        <w:t xml:space="preserve">  </w:t>
      </w:r>
      <w:r>
        <w:rPr>
          <w:rFonts w:hint="eastAsia"/>
          <w:sz w:val="15"/>
          <w:szCs w:val="15"/>
          <w:lang w:val="en-US" w:eastAsia="zh-CN"/>
        </w:rPr>
        <w:t>冀A41568D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