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陈丽静</w:t>
      </w:r>
      <w:r>
        <w:rPr>
          <w:rFonts w:hint="eastAsia"/>
          <w:sz w:val="15"/>
          <w:szCs w:val="15"/>
          <w:highlight w:val="none"/>
        </w:rPr>
        <w:t>，</w:t>
      </w:r>
      <w:r>
        <w:rPr>
          <w:rFonts w:hint="eastAsia"/>
          <w:sz w:val="15"/>
          <w:szCs w:val="15"/>
          <w:highlight w:val="none"/>
          <w:lang w:val="en-US" w:eastAsia="zh-CN"/>
        </w:rPr>
        <w:t>130126199501283045</w:t>
      </w:r>
      <w:r>
        <w:rPr>
          <w:rFonts w:hint="eastAsia"/>
          <w:sz w:val="15"/>
          <w:szCs w:val="15"/>
        </w:rPr>
        <w:t xml:space="preserve">  </w:t>
      </w:r>
      <w:r>
        <w:rPr>
          <w:rFonts w:hint="eastAsia"/>
          <w:sz w:val="15"/>
          <w:szCs w:val="15"/>
          <w:lang w:val="en-US" w:eastAsia="zh-CN"/>
        </w:rPr>
        <w:t>沪A28737A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