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胡佼萌</w:t>
      </w:r>
      <w:r>
        <w:rPr>
          <w:rFonts w:hint="eastAsia"/>
          <w:sz w:val="15"/>
          <w:szCs w:val="15"/>
          <w:highlight w:val="none"/>
        </w:rPr>
        <w:t>，</w:t>
      </w:r>
      <w:r>
        <w:rPr>
          <w:rFonts w:hint="eastAsia"/>
          <w:sz w:val="15"/>
          <w:szCs w:val="15"/>
          <w:highlight w:val="none"/>
          <w:lang w:val="en-US" w:eastAsia="zh-CN"/>
        </w:rPr>
        <w:t>130126199307222716</w:t>
      </w:r>
      <w:r>
        <w:rPr>
          <w:rFonts w:hint="eastAsia"/>
          <w:sz w:val="15"/>
          <w:szCs w:val="15"/>
        </w:rPr>
        <w:t xml:space="preserve">  </w:t>
      </w:r>
      <w:r>
        <w:rPr>
          <w:rFonts w:hint="eastAsia"/>
          <w:sz w:val="15"/>
          <w:szCs w:val="15"/>
          <w:lang w:val="en-US" w:eastAsia="zh-CN"/>
        </w:rPr>
        <w:t>冀AX5220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