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苏永刚</w:t>
      </w:r>
      <w:r>
        <w:rPr>
          <w:rFonts w:hint="eastAsia"/>
          <w:sz w:val="15"/>
          <w:szCs w:val="15"/>
          <w:highlight w:val="none"/>
        </w:rPr>
        <w:t>，</w:t>
      </w:r>
      <w:r>
        <w:rPr>
          <w:rFonts w:hint="eastAsia"/>
          <w:sz w:val="15"/>
          <w:szCs w:val="15"/>
          <w:highlight w:val="none"/>
          <w:lang w:val="en-US" w:eastAsia="zh-CN"/>
        </w:rPr>
        <w:t>130126199210133012</w:t>
      </w:r>
      <w:r>
        <w:rPr>
          <w:rFonts w:hint="eastAsia"/>
          <w:sz w:val="15"/>
          <w:szCs w:val="15"/>
        </w:rPr>
        <w:t xml:space="preserve">  </w:t>
      </w:r>
      <w:r>
        <w:rPr>
          <w:rFonts w:hint="eastAsia"/>
          <w:sz w:val="15"/>
          <w:szCs w:val="15"/>
          <w:lang w:val="en-US" w:eastAsia="zh-CN"/>
        </w:rPr>
        <w:t>冀A2179W</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