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刘明</w:t>
      </w:r>
      <w:r>
        <w:rPr>
          <w:rFonts w:hint="eastAsia"/>
          <w:sz w:val="15"/>
          <w:szCs w:val="15"/>
          <w:highlight w:val="none"/>
        </w:rPr>
        <w:t>，</w:t>
      </w:r>
      <w:r>
        <w:rPr>
          <w:rFonts w:hint="eastAsia"/>
          <w:sz w:val="15"/>
          <w:szCs w:val="15"/>
          <w:highlight w:val="none"/>
          <w:lang w:val="en-US" w:eastAsia="zh-CN"/>
        </w:rPr>
        <w:t>130126199210053311</w:t>
      </w:r>
      <w:r>
        <w:rPr>
          <w:rFonts w:hint="eastAsia"/>
          <w:sz w:val="15"/>
          <w:szCs w:val="15"/>
        </w:rPr>
        <w:t xml:space="preserve">  </w:t>
      </w:r>
      <w:r>
        <w:rPr>
          <w:rFonts w:hint="eastAsia"/>
          <w:sz w:val="15"/>
          <w:szCs w:val="15"/>
          <w:lang w:val="en-US" w:eastAsia="zh-CN"/>
        </w:rPr>
        <w:t>冀A40747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