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张晓建</w:t>
      </w:r>
      <w:r>
        <w:rPr>
          <w:rFonts w:hint="eastAsia"/>
          <w:sz w:val="15"/>
          <w:szCs w:val="15"/>
          <w:highlight w:val="none"/>
        </w:rPr>
        <w:t>，</w:t>
      </w:r>
      <w:r>
        <w:rPr>
          <w:rFonts w:hint="eastAsia"/>
          <w:sz w:val="15"/>
          <w:szCs w:val="15"/>
          <w:highlight w:val="none"/>
          <w:lang w:val="en-US" w:eastAsia="zh-CN"/>
        </w:rPr>
        <w:t>130126199203080012</w:t>
      </w:r>
      <w:r>
        <w:rPr>
          <w:rFonts w:hint="eastAsia"/>
          <w:sz w:val="15"/>
          <w:szCs w:val="15"/>
        </w:rPr>
        <w:t xml:space="preserve">  </w:t>
      </w:r>
      <w:r>
        <w:rPr>
          <w:rFonts w:hint="eastAsia"/>
          <w:sz w:val="15"/>
          <w:szCs w:val="15"/>
          <w:lang w:val="en-US" w:eastAsia="zh-CN"/>
        </w:rPr>
        <w:t>冀A79773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