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聂慧月</w:t>
      </w:r>
      <w:r>
        <w:rPr>
          <w:rFonts w:hint="eastAsia"/>
          <w:sz w:val="15"/>
          <w:szCs w:val="15"/>
          <w:highlight w:val="none"/>
        </w:rPr>
        <w:t>，</w:t>
      </w:r>
      <w:r>
        <w:rPr>
          <w:rFonts w:hint="eastAsia"/>
          <w:sz w:val="15"/>
          <w:szCs w:val="15"/>
          <w:highlight w:val="none"/>
          <w:lang w:val="en-US" w:eastAsia="zh-CN"/>
        </w:rPr>
        <w:t>130126199202160627</w:t>
      </w:r>
      <w:r>
        <w:rPr>
          <w:rFonts w:hint="eastAsia"/>
          <w:sz w:val="15"/>
          <w:szCs w:val="15"/>
        </w:rPr>
        <w:t xml:space="preserve">  </w:t>
      </w:r>
      <w:r>
        <w:rPr>
          <w:rFonts w:hint="eastAsia"/>
          <w:sz w:val="15"/>
          <w:szCs w:val="15"/>
          <w:lang w:val="en-US" w:eastAsia="zh-CN"/>
        </w:rPr>
        <w:t>冀A5350W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