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马存志</w:t>
      </w:r>
      <w:r>
        <w:rPr>
          <w:rFonts w:hint="eastAsia"/>
          <w:sz w:val="15"/>
          <w:szCs w:val="15"/>
          <w:highlight w:val="none"/>
        </w:rPr>
        <w:t>，</w:t>
      </w:r>
      <w:r>
        <w:rPr>
          <w:rFonts w:hint="eastAsia"/>
          <w:sz w:val="15"/>
          <w:szCs w:val="15"/>
          <w:highlight w:val="none"/>
          <w:lang w:val="en-US" w:eastAsia="zh-CN"/>
        </w:rPr>
        <w:t>130126199105050311</w:t>
      </w:r>
      <w:r>
        <w:rPr>
          <w:rFonts w:hint="eastAsia"/>
          <w:sz w:val="15"/>
          <w:szCs w:val="15"/>
        </w:rPr>
        <w:t xml:space="preserve">  </w:t>
      </w:r>
      <w:r>
        <w:rPr>
          <w:rFonts w:hint="eastAsia"/>
          <w:sz w:val="15"/>
          <w:szCs w:val="15"/>
          <w:lang w:val="en-US" w:eastAsia="zh-CN"/>
        </w:rPr>
        <w:t>冀AAA107</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