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杨玉梅</w:t>
      </w:r>
      <w:r>
        <w:rPr>
          <w:rFonts w:hint="eastAsia"/>
          <w:sz w:val="15"/>
          <w:szCs w:val="15"/>
          <w:highlight w:val="none"/>
        </w:rPr>
        <w:t>，</w:t>
      </w:r>
      <w:r>
        <w:rPr>
          <w:rFonts w:hint="eastAsia"/>
          <w:sz w:val="15"/>
          <w:szCs w:val="15"/>
          <w:highlight w:val="none"/>
          <w:lang w:val="en-US" w:eastAsia="zh-CN"/>
        </w:rPr>
        <w:t>130126199104240324</w:t>
      </w:r>
      <w:r>
        <w:rPr>
          <w:rFonts w:hint="eastAsia"/>
          <w:sz w:val="15"/>
          <w:szCs w:val="15"/>
        </w:rPr>
        <w:t xml:space="preserve">  </w:t>
      </w:r>
      <w:r>
        <w:rPr>
          <w:rFonts w:hint="eastAsia"/>
          <w:sz w:val="15"/>
          <w:szCs w:val="15"/>
          <w:lang w:val="en-US" w:eastAsia="zh-CN"/>
        </w:rPr>
        <w:t>冀A35077D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