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冯新龙</w:t>
      </w:r>
      <w:r>
        <w:rPr>
          <w:rFonts w:hint="eastAsia"/>
          <w:sz w:val="15"/>
          <w:szCs w:val="15"/>
          <w:highlight w:val="none"/>
        </w:rPr>
        <w:t>，</w:t>
      </w:r>
      <w:r>
        <w:rPr>
          <w:rFonts w:hint="eastAsia"/>
          <w:sz w:val="15"/>
          <w:szCs w:val="15"/>
          <w:highlight w:val="none"/>
          <w:lang w:val="en-US" w:eastAsia="zh-CN"/>
        </w:rPr>
        <w:t>130126199104143313</w:t>
      </w:r>
      <w:r>
        <w:rPr>
          <w:rFonts w:hint="eastAsia"/>
          <w:sz w:val="15"/>
          <w:szCs w:val="15"/>
        </w:rPr>
        <w:t xml:space="preserve">  </w:t>
      </w:r>
      <w:r>
        <w:rPr>
          <w:rFonts w:hint="eastAsia"/>
          <w:sz w:val="15"/>
          <w:szCs w:val="15"/>
          <w:lang w:val="en-US" w:eastAsia="zh-CN"/>
        </w:rPr>
        <w:t>沪A19330A</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