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杜施龙</w:t>
      </w:r>
      <w:r>
        <w:rPr>
          <w:rFonts w:hint="eastAsia"/>
          <w:sz w:val="15"/>
          <w:szCs w:val="15"/>
          <w:highlight w:val="none"/>
        </w:rPr>
        <w:t>，</w:t>
      </w:r>
      <w:r>
        <w:rPr>
          <w:rFonts w:hint="eastAsia"/>
          <w:sz w:val="15"/>
          <w:szCs w:val="15"/>
          <w:highlight w:val="none"/>
          <w:lang w:val="en-US" w:eastAsia="zh-CN"/>
        </w:rPr>
        <w:t>130126199101020633</w:t>
      </w:r>
      <w:r>
        <w:rPr>
          <w:rFonts w:hint="eastAsia"/>
          <w:sz w:val="15"/>
          <w:szCs w:val="15"/>
        </w:rPr>
        <w:t xml:space="preserve">  </w:t>
      </w:r>
      <w:r>
        <w:rPr>
          <w:rFonts w:hint="eastAsia"/>
          <w:sz w:val="15"/>
          <w:szCs w:val="15"/>
          <w:lang w:val="en-US" w:eastAsia="zh-CN"/>
        </w:rPr>
        <w:t>冀A22711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