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王晓建</w:t>
      </w:r>
      <w:r>
        <w:rPr>
          <w:rFonts w:hint="eastAsia"/>
          <w:sz w:val="15"/>
          <w:szCs w:val="15"/>
          <w:highlight w:val="none"/>
        </w:rPr>
        <w:t>，</w:t>
      </w:r>
      <w:r>
        <w:rPr>
          <w:rFonts w:hint="eastAsia"/>
          <w:sz w:val="15"/>
          <w:szCs w:val="15"/>
          <w:highlight w:val="none"/>
          <w:lang w:val="en-US" w:eastAsia="zh-CN"/>
        </w:rPr>
        <w:t>130126199007240357</w:t>
      </w:r>
      <w:r>
        <w:rPr>
          <w:rFonts w:hint="eastAsia"/>
          <w:sz w:val="15"/>
          <w:szCs w:val="15"/>
        </w:rPr>
        <w:t xml:space="preserve">  </w:t>
      </w:r>
      <w:r>
        <w:rPr>
          <w:rFonts w:hint="eastAsia"/>
          <w:sz w:val="15"/>
          <w:szCs w:val="15"/>
          <w:lang w:val="en-US" w:eastAsia="zh-CN"/>
        </w:rPr>
        <w:t>冀AM6929</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