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杨志文</w:t>
      </w:r>
      <w:r>
        <w:rPr>
          <w:rFonts w:hint="eastAsia"/>
          <w:sz w:val="15"/>
          <w:szCs w:val="15"/>
          <w:highlight w:val="none"/>
        </w:rPr>
        <w:t>，</w:t>
      </w:r>
      <w:r>
        <w:rPr>
          <w:rFonts w:hint="eastAsia"/>
          <w:sz w:val="15"/>
          <w:szCs w:val="15"/>
          <w:highlight w:val="none"/>
          <w:lang w:val="en-US" w:eastAsia="zh-CN"/>
        </w:rPr>
        <w:t>130126199007113032</w:t>
      </w:r>
      <w:r>
        <w:rPr>
          <w:rFonts w:hint="eastAsia"/>
          <w:sz w:val="15"/>
          <w:szCs w:val="15"/>
        </w:rPr>
        <w:t xml:space="preserve">  </w:t>
      </w:r>
      <w:r>
        <w:rPr>
          <w:rFonts w:hint="eastAsia"/>
          <w:sz w:val="15"/>
          <w:szCs w:val="15"/>
          <w:lang w:val="en-US" w:eastAsia="zh-CN"/>
        </w:rPr>
        <w:t>冀A9842G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