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赵伟花</w:t>
      </w:r>
      <w:r>
        <w:rPr>
          <w:rFonts w:hint="eastAsia"/>
          <w:sz w:val="15"/>
          <w:szCs w:val="15"/>
          <w:highlight w:val="none"/>
        </w:rPr>
        <w:t>，</w:t>
      </w:r>
      <w:r>
        <w:rPr>
          <w:rFonts w:hint="eastAsia"/>
          <w:sz w:val="15"/>
          <w:szCs w:val="15"/>
          <w:highlight w:val="none"/>
          <w:lang w:val="en-US" w:eastAsia="zh-CN"/>
        </w:rPr>
        <w:t>130126199007082723</w:t>
      </w:r>
      <w:r>
        <w:rPr>
          <w:rFonts w:hint="eastAsia"/>
          <w:sz w:val="15"/>
          <w:szCs w:val="15"/>
        </w:rPr>
        <w:t xml:space="preserve">  </w:t>
      </w:r>
      <w:r>
        <w:rPr>
          <w:rFonts w:hint="eastAsia"/>
          <w:sz w:val="15"/>
          <w:szCs w:val="15"/>
          <w:lang w:val="en-US" w:eastAsia="zh-CN"/>
        </w:rPr>
        <w:t>冀AYN676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