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赵得强</w:t>
      </w:r>
      <w:r>
        <w:rPr>
          <w:rFonts w:hint="eastAsia"/>
          <w:sz w:val="15"/>
          <w:szCs w:val="15"/>
          <w:highlight w:val="none"/>
        </w:rPr>
        <w:t>，</w:t>
      </w:r>
      <w:r>
        <w:rPr>
          <w:rFonts w:hint="eastAsia"/>
          <w:sz w:val="15"/>
          <w:szCs w:val="15"/>
          <w:highlight w:val="none"/>
          <w:lang w:val="en-US" w:eastAsia="zh-CN"/>
        </w:rPr>
        <w:t>130126199005250631</w:t>
      </w:r>
      <w:r>
        <w:rPr>
          <w:rFonts w:hint="eastAsia"/>
          <w:sz w:val="15"/>
          <w:szCs w:val="15"/>
        </w:rPr>
        <w:t xml:space="preserve">  </w:t>
      </w:r>
      <w:r>
        <w:rPr>
          <w:rFonts w:hint="eastAsia"/>
          <w:sz w:val="15"/>
          <w:szCs w:val="15"/>
          <w:lang w:val="en-US" w:eastAsia="zh-CN"/>
        </w:rPr>
        <w:t>冀A8255W</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