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郝勇利</w:t>
      </w:r>
      <w:r>
        <w:rPr>
          <w:rFonts w:hint="eastAsia"/>
          <w:sz w:val="15"/>
          <w:szCs w:val="15"/>
          <w:highlight w:val="none"/>
        </w:rPr>
        <w:t>，</w:t>
      </w:r>
      <w:r>
        <w:rPr>
          <w:rFonts w:hint="eastAsia"/>
          <w:sz w:val="15"/>
          <w:szCs w:val="15"/>
          <w:highlight w:val="none"/>
          <w:lang w:val="en-US" w:eastAsia="zh-CN"/>
        </w:rPr>
        <w:t>130126199004243317</w:t>
      </w:r>
      <w:r>
        <w:rPr>
          <w:rFonts w:hint="eastAsia"/>
          <w:sz w:val="15"/>
          <w:szCs w:val="15"/>
        </w:rPr>
        <w:t xml:space="preserve">  </w:t>
      </w:r>
      <w:r>
        <w:rPr>
          <w:rFonts w:hint="eastAsia"/>
          <w:sz w:val="15"/>
          <w:szCs w:val="15"/>
          <w:lang w:val="en-US" w:eastAsia="zh-CN"/>
        </w:rPr>
        <w:t>冀A72R14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