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柳伟</w:t>
      </w:r>
      <w:r>
        <w:rPr>
          <w:rFonts w:hint="eastAsia"/>
          <w:sz w:val="15"/>
          <w:szCs w:val="15"/>
          <w:highlight w:val="none"/>
        </w:rPr>
        <w:t>，</w:t>
      </w:r>
      <w:r>
        <w:rPr>
          <w:rFonts w:hint="eastAsia"/>
          <w:sz w:val="15"/>
          <w:szCs w:val="15"/>
          <w:highlight w:val="none"/>
          <w:lang w:val="en-US" w:eastAsia="zh-CN"/>
        </w:rPr>
        <w:t>130126198912241830</w:t>
      </w:r>
      <w:r>
        <w:rPr>
          <w:rFonts w:hint="eastAsia"/>
          <w:sz w:val="15"/>
          <w:szCs w:val="15"/>
        </w:rPr>
        <w:t xml:space="preserve">  </w:t>
      </w:r>
      <w:r>
        <w:rPr>
          <w:rFonts w:hint="eastAsia"/>
          <w:sz w:val="15"/>
          <w:szCs w:val="15"/>
          <w:lang w:val="en-US" w:eastAsia="zh-CN"/>
        </w:rPr>
        <w:t>冀A2000R</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