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索文杰</w:t>
      </w:r>
      <w:r>
        <w:rPr>
          <w:rFonts w:hint="eastAsia"/>
          <w:sz w:val="15"/>
          <w:szCs w:val="15"/>
          <w:highlight w:val="none"/>
        </w:rPr>
        <w:t>，</w:t>
      </w:r>
      <w:r>
        <w:rPr>
          <w:rFonts w:hint="eastAsia"/>
          <w:sz w:val="15"/>
          <w:szCs w:val="15"/>
          <w:highlight w:val="none"/>
          <w:lang w:val="en-US" w:eastAsia="zh-CN"/>
        </w:rPr>
        <w:t>13012619891004303X</w:t>
      </w:r>
      <w:r>
        <w:rPr>
          <w:rFonts w:hint="eastAsia"/>
          <w:sz w:val="15"/>
          <w:szCs w:val="15"/>
        </w:rPr>
        <w:t xml:space="preserve">  </w:t>
      </w:r>
      <w:r>
        <w:rPr>
          <w:rFonts w:hint="eastAsia"/>
          <w:sz w:val="15"/>
          <w:szCs w:val="15"/>
          <w:lang w:val="en-US" w:eastAsia="zh-CN"/>
        </w:rPr>
        <w:t>冀A096Z6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