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胡三龙</w:t>
      </w:r>
      <w:r>
        <w:rPr>
          <w:rFonts w:hint="eastAsia"/>
          <w:sz w:val="15"/>
          <w:szCs w:val="15"/>
          <w:highlight w:val="none"/>
        </w:rPr>
        <w:t>，</w:t>
      </w:r>
      <w:r>
        <w:rPr>
          <w:rFonts w:hint="eastAsia"/>
          <w:sz w:val="15"/>
          <w:szCs w:val="15"/>
          <w:highlight w:val="none"/>
          <w:lang w:val="en-US" w:eastAsia="zh-CN"/>
        </w:rPr>
        <w:t>130126198908030918</w:t>
      </w:r>
      <w:r>
        <w:rPr>
          <w:rFonts w:hint="eastAsia"/>
          <w:sz w:val="15"/>
          <w:szCs w:val="15"/>
        </w:rPr>
        <w:t xml:space="preserve">  </w:t>
      </w:r>
      <w:r>
        <w:rPr>
          <w:rFonts w:hint="eastAsia"/>
          <w:sz w:val="15"/>
          <w:szCs w:val="15"/>
          <w:lang w:val="en-US" w:eastAsia="zh-CN"/>
        </w:rPr>
        <w:t>沪A15079A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