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石建亮</w:t>
      </w:r>
      <w:r>
        <w:rPr>
          <w:rFonts w:hint="eastAsia"/>
          <w:sz w:val="15"/>
          <w:szCs w:val="15"/>
          <w:highlight w:val="none"/>
        </w:rPr>
        <w:t>，</w:t>
      </w:r>
      <w:r>
        <w:rPr>
          <w:rFonts w:hint="eastAsia"/>
          <w:sz w:val="15"/>
          <w:szCs w:val="15"/>
          <w:highlight w:val="none"/>
          <w:lang w:val="en-US" w:eastAsia="zh-CN"/>
        </w:rPr>
        <w:t>130126198906111511</w:t>
      </w:r>
      <w:r>
        <w:rPr>
          <w:rFonts w:hint="eastAsia"/>
          <w:sz w:val="15"/>
          <w:szCs w:val="15"/>
        </w:rPr>
        <w:t xml:space="preserve">  </w:t>
      </w:r>
      <w:r>
        <w:rPr>
          <w:rFonts w:hint="eastAsia"/>
          <w:sz w:val="15"/>
          <w:szCs w:val="15"/>
          <w:lang w:val="en-US" w:eastAsia="zh-CN"/>
        </w:rPr>
        <w:t>冀ATF455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