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马晓宁</w:t>
      </w:r>
      <w:r>
        <w:rPr>
          <w:rFonts w:hint="eastAsia"/>
          <w:sz w:val="15"/>
          <w:szCs w:val="15"/>
          <w:highlight w:val="none"/>
        </w:rPr>
        <w:t>，</w:t>
      </w:r>
      <w:r>
        <w:rPr>
          <w:rFonts w:hint="eastAsia"/>
          <w:sz w:val="15"/>
          <w:szCs w:val="15"/>
          <w:highlight w:val="none"/>
          <w:lang w:val="en-US" w:eastAsia="zh-CN"/>
        </w:rPr>
        <w:t>130126198904053055</w:t>
      </w:r>
      <w:r>
        <w:rPr>
          <w:rFonts w:hint="eastAsia"/>
          <w:sz w:val="15"/>
          <w:szCs w:val="15"/>
        </w:rPr>
        <w:t xml:space="preserve">  </w:t>
      </w:r>
      <w:r>
        <w:rPr>
          <w:rFonts w:hint="eastAsia"/>
          <w:sz w:val="15"/>
          <w:szCs w:val="15"/>
          <w:lang w:val="en-US" w:eastAsia="zh-CN"/>
        </w:rPr>
        <w:t>冀A878T7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