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罗玉强</w:t>
      </w:r>
      <w:r>
        <w:rPr>
          <w:rFonts w:hint="eastAsia"/>
          <w:sz w:val="15"/>
          <w:szCs w:val="15"/>
          <w:highlight w:val="none"/>
        </w:rPr>
        <w:t>，</w:t>
      </w:r>
      <w:r>
        <w:rPr>
          <w:rFonts w:hint="eastAsia"/>
          <w:sz w:val="15"/>
          <w:szCs w:val="15"/>
          <w:highlight w:val="none"/>
          <w:lang w:val="en-US" w:eastAsia="zh-CN"/>
        </w:rPr>
        <w:t>130126198903293313</w:t>
      </w:r>
      <w:r>
        <w:rPr>
          <w:rFonts w:hint="eastAsia"/>
          <w:sz w:val="15"/>
          <w:szCs w:val="15"/>
        </w:rPr>
        <w:t xml:space="preserve">  </w:t>
      </w:r>
      <w:r>
        <w:rPr>
          <w:rFonts w:hint="eastAsia"/>
          <w:sz w:val="15"/>
          <w:szCs w:val="15"/>
          <w:lang w:val="en-US" w:eastAsia="zh-CN"/>
        </w:rPr>
        <w:t>冀A45564D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