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索燕辉</w:t>
      </w:r>
      <w:r>
        <w:rPr>
          <w:rFonts w:hint="eastAsia"/>
          <w:sz w:val="15"/>
          <w:szCs w:val="15"/>
          <w:highlight w:val="none"/>
        </w:rPr>
        <w:t>，</w:t>
      </w:r>
      <w:r>
        <w:rPr>
          <w:rFonts w:hint="eastAsia"/>
          <w:sz w:val="15"/>
          <w:szCs w:val="15"/>
          <w:highlight w:val="none"/>
          <w:lang w:val="en-US" w:eastAsia="zh-CN"/>
        </w:rPr>
        <w:t>130126198903113036</w:t>
      </w:r>
      <w:r>
        <w:rPr>
          <w:rFonts w:hint="eastAsia"/>
          <w:sz w:val="15"/>
          <w:szCs w:val="15"/>
        </w:rPr>
        <w:t xml:space="preserve">  </w:t>
      </w:r>
      <w:r>
        <w:rPr>
          <w:rFonts w:hint="eastAsia"/>
          <w:sz w:val="15"/>
          <w:szCs w:val="15"/>
          <w:lang w:val="en-US" w:eastAsia="zh-CN"/>
        </w:rPr>
        <w:t>冀A6447V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