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曹新刚</w:t>
      </w:r>
      <w:r>
        <w:rPr>
          <w:rFonts w:hint="eastAsia"/>
          <w:sz w:val="15"/>
          <w:szCs w:val="15"/>
          <w:highlight w:val="none"/>
        </w:rPr>
        <w:t>，</w:t>
      </w:r>
      <w:r>
        <w:rPr>
          <w:rFonts w:hint="eastAsia"/>
          <w:sz w:val="15"/>
          <w:szCs w:val="15"/>
          <w:highlight w:val="none"/>
          <w:lang w:val="en-US" w:eastAsia="zh-CN"/>
        </w:rPr>
        <w:t>130126198902130619</w:t>
      </w:r>
      <w:r>
        <w:rPr>
          <w:rFonts w:hint="eastAsia"/>
          <w:sz w:val="15"/>
          <w:szCs w:val="15"/>
        </w:rPr>
        <w:t xml:space="preserve">  </w:t>
      </w:r>
      <w:r>
        <w:rPr>
          <w:rFonts w:hint="eastAsia"/>
          <w:sz w:val="15"/>
          <w:szCs w:val="15"/>
          <w:lang w:val="en-US" w:eastAsia="zh-CN"/>
        </w:rPr>
        <w:t>冀A1216M</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