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任育鹏</w:t>
      </w:r>
      <w:r>
        <w:rPr>
          <w:rFonts w:hint="eastAsia"/>
          <w:sz w:val="15"/>
          <w:szCs w:val="15"/>
          <w:highlight w:val="none"/>
        </w:rPr>
        <w:t>，</w:t>
      </w:r>
      <w:r>
        <w:rPr>
          <w:rFonts w:hint="eastAsia"/>
          <w:sz w:val="15"/>
          <w:szCs w:val="15"/>
          <w:highlight w:val="none"/>
          <w:lang w:val="en-US" w:eastAsia="zh-CN"/>
        </w:rPr>
        <w:t>130126198901180032</w:t>
      </w:r>
      <w:r>
        <w:rPr>
          <w:rFonts w:hint="eastAsia"/>
          <w:sz w:val="15"/>
          <w:szCs w:val="15"/>
        </w:rPr>
        <w:t xml:space="preserve">  </w:t>
      </w:r>
      <w:r>
        <w:rPr>
          <w:rFonts w:hint="eastAsia"/>
          <w:sz w:val="15"/>
          <w:szCs w:val="15"/>
          <w:lang w:val="en-US" w:eastAsia="zh-CN"/>
        </w:rPr>
        <w:t>冀A9489Z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