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赵江卫</w:t>
      </w:r>
      <w:r>
        <w:rPr>
          <w:rFonts w:hint="eastAsia"/>
          <w:sz w:val="15"/>
          <w:szCs w:val="15"/>
          <w:highlight w:val="none"/>
        </w:rPr>
        <w:t>，</w:t>
      </w:r>
      <w:r>
        <w:rPr>
          <w:rFonts w:hint="eastAsia"/>
          <w:sz w:val="15"/>
          <w:szCs w:val="15"/>
          <w:highlight w:val="none"/>
          <w:lang w:val="en-US" w:eastAsia="zh-CN"/>
        </w:rPr>
        <w:t>130126198810070313</w:t>
      </w:r>
      <w:r>
        <w:rPr>
          <w:rFonts w:hint="eastAsia"/>
          <w:sz w:val="15"/>
          <w:szCs w:val="15"/>
        </w:rPr>
        <w:t xml:space="preserve">  </w:t>
      </w:r>
      <w:r>
        <w:rPr>
          <w:rFonts w:hint="eastAsia"/>
          <w:sz w:val="15"/>
          <w:szCs w:val="15"/>
          <w:lang w:val="en-US" w:eastAsia="zh-CN"/>
        </w:rPr>
        <w:t>冀A7823V</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