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卢二刚</w:t>
      </w:r>
      <w:r>
        <w:rPr>
          <w:rFonts w:hint="eastAsia"/>
          <w:sz w:val="15"/>
          <w:szCs w:val="15"/>
          <w:highlight w:val="none"/>
        </w:rPr>
        <w:t>，</w:t>
      </w:r>
      <w:r>
        <w:rPr>
          <w:rFonts w:hint="eastAsia"/>
          <w:sz w:val="15"/>
          <w:szCs w:val="15"/>
          <w:highlight w:val="none"/>
          <w:lang w:val="en-US" w:eastAsia="zh-CN"/>
        </w:rPr>
        <w:t>130126198808070613</w:t>
      </w:r>
      <w:r>
        <w:rPr>
          <w:rFonts w:hint="eastAsia"/>
          <w:sz w:val="15"/>
          <w:szCs w:val="15"/>
        </w:rPr>
        <w:t xml:space="preserve">  </w:t>
      </w:r>
      <w:r>
        <w:rPr>
          <w:rFonts w:hint="eastAsia"/>
          <w:sz w:val="15"/>
          <w:szCs w:val="15"/>
          <w:lang w:val="en-US" w:eastAsia="zh-CN"/>
        </w:rPr>
        <w:t>冀A1L976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