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白天龙</w:t>
      </w:r>
      <w:r>
        <w:rPr>
          <w:rFonts w:hint="eastAsia"/>
          <w:sz w:val="15"/>
          <w:szCs w:val="15"/>
          <w:highlight w:val="none"/>
        </w:rPr>
        <w:t>，</w:t>
      </w:r>
      <w:r>
        <w:rPr>
          <w:rFonts w:hint="eastAsia"/>
          <w:sz w:val="15"/>
          <w:szCs w:val="15"/>
          <w:highlight w:val="none"/>
          <w:lang w:val="en-US" w:eastAsia="zh-CN"/>
        </w:rPr>
        <w:t>130126198807193312</w:t>
      </w:r>
      <w:r>
        <w:rPr>
          <w:rFonts w:hint="eastAsia"/>
          <w:sz w:val="15"/>
          <w:szCs w:val="15"/>
        </w:rPr>
        <w:t xml:space="preserve">  </w:t>
      </w:r>
      <w:r>
        <w:rPr>
          <w:rFonts w:hint="eastAsia"/>
          <w:sz w:val="15"/>
          <w:szCs w:val="15"/>
          <w:lang w:val="en-US" w:eastAsia="zh-CN"/>
        </w:rPr>
        <w:t>冀AU2118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