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吕学宾</w:t>
      </w:r>
      <w:r>
        <w:rPr>
          <w:rFonts w:hint="eastAsia"/>
          <w:sz w:val="15"/>
          <w:szCs w:val="15"/>
          <w:highlight w:val="none"/>
        </w:rPr>
        <w:t>，</w:t>
      </w:r>
      <w:r>
        <w:rPr>
          <w:rFonts w:hint="eastAsia"/>
          <w:sz w:val="15"/>
          <w:szCs w:val="15"/>
          <w:highlight w:val="none"/>
          <w:lang w:val="en-US" w:eastAsia="zh-CN"/>
        </w:rPr>
        <w:t>130126198806052112</w:t>
      </w:r>
      <w:r>
        <w:rPr>
          <w:rFonts w:hint="eastAsia"/>
          <w:sz w:val="15"/>
          <w:szCs w:val="15"/>
        </w:rPr>
        <w:t xml:space="preserve">  </w:t>
      </w:r>
      <w:r>
        <w:rPr>
          <w:rFonts w:hint="eastAsia"/>
          <w:sz w:val="15"/>
          <w:szCs w:val="15"/>
          <w:lang w:val="en-US" w:eastAsia="zh-CN"/>
        </w:rPr>
        <w:t>冀A6967V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