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郎新龙</w:t>
      </w:r>
      <w:r>
        <w:rPr>
          <w:rFonts w:hint="eastAsia"/>
          <w:sz w:val="15"/>
          <w:szCs w:val="15"/>
          <w:highlight w:val="none"/>
        </w:rPr>
        <w:t>，</w:t>
      </w:r>
      <w:r>
        <w:rPr>
          <w:rFonts w:hint="eastAsia"/>
          <w:sz w:val="15"/>
          <w:szCs w:val="15"/>
          <w:highlight w:val="none"/>
          <w:lang w:val="en-US" w:eastAsia="zh-CN"/>
        </w:rPr>
        <w:t>130126198804082713</w:t>
      </w:r>
      <w:r>
        <w:rPr>
          <w:rFonts w:hint="eastAsia"/>
          <w:sz w:val="15"/>
          <w:szCs w:val="15"/>
        </w:rPr>
        <w:t xml:space="preserve">  </w:t>
      </w:r>
      <w:r>
        <w:rPr>
          <w:rFonts w:hint="eastAsia"/>
          <w:sz w:val="15"/>
          <w:szCs w:val="15"/>
          <w:lang w:val="en-US" w:eastAsia="zh-CN"/>
        </w:rPr>
        <w:t>冀A122WD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