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刘晓艳</w:t>
      </w:r>
      <w:r>
        <w:rPr>
          <w:rFonts w:hint="eastAsia"/>
          <w:sz w:val="15"/>
          <w:szCs w:val="15"/>
          <w:highlight w:val="none"/>
        </w:rPr>
        <w:t>，</w:t>
      </w:r>
      <w:r>
        <w:rPr>
          <w:rFonts w:hint="eastAsia"/>
          <w:sz w:val="15"/>
          <w:szCs w:val="15"/>
          <w:highlight w:val="none"/>
          <w:lang w:val="en-US" w:eastAsia="zh-CN"/>
        </w:rPr>
        <w:t>130126198804023027</w:t>
      </w:r>
      <w:r>
        <w:rPr>
          <w:rFonts w:hint="eastAsia"/>
          <w:sz w:val="15"/>
          <w:szCs w:val="15"/>
        </w:rPr>
        <w:t xml:space="preserve">  </w:t>
      </w:r>
      <w:r>
        <w:rPr>
          <w:rFonts w:hint="eastAsia"/>
          <w:sz w:val="15"/>
          <w:szCs w:val="15"/>
          <w:lang w:val="en-US" w:eastAsia="zh-CN"/>
        </w:rPr>
        <w:t>冀A39856D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