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张琦</w:t>
      </w:r>
      <w:r>
        <w:rPr>
          <w:rFonts w:hint="eastAsia"/>
          <w:sz w:val="15"/>
          <w:szCs w:val="15"/>
          <w:highlight w:val="none"/>
        </w:rPr>
        <w:t>，</w:t>
      </w:r>
      <w:r>
        <w:rPr>
          <w:rFonts w:hint="eastAsia"/>
          <w:sz w:val="15"/>
          <w:szCs w:val="15"/>
          <w:highlight w:val="none"/>
          <w:lang w:val="en-US" w:eastAsia="zh-CN"/>
        </w:rPr>
        <w:t>13012619880329305X</w:t>
      </w:r>
      <w:r>
        <w:rPr>
          <w:rFonts w:hint="eastAsia"/>
          <w:sz w:val="15"/>
          <w:szCs w:val="15"/>
        </w:rPr>
        <w:t xml:space="preserve">  </w:t>
      </w:r>
      <w:r>
        <w:rPr>
          <w:rFonts w:hint="eastAsia"/>
          <w:sz w:val="15"/>
          <w:szCs w:val="15"/>
          <w:lang w:val="en-US" w:eastAsia="zh-CN"/>
        </w:rPr>
        <w:t>冀AQM061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