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郝东峰</w:t>
      </w:r>
      <w:r>
        <w:rPr>
          <w:rFonts w:hint="eastAsia"/>
          <w:sz w:val="15"/>
          <w:szCs w:val="15"/>
          <w:highlight w:val="none"/>
        </w:rPr>
        <w:t>，</w:t>
      </w:r>
      <w:r>
        <w:rPr>
          <w:rFonts w:hint="eastAsia"/>
          <w:sz w:val="15"/>
          <w:szCs w:val="15"/>
          <w:highlight w:val="none"/>
          <w:lang w:val="en-US" w:eastAsia="zh-CN"/>
        </w:rPr>
        <w:t>130126198803230032</w:t>
      </w:r>
      <w:r>
        <w:rPr>
          <w:rFonts w:hint="eastAsia"/>
          <w:sz w:val="15"/>
          <w:szCs w:val="15"/>
        </w:rPr>
        <w:t xml:space="preserve">  </w:t>
      </w:r>
      <w:r>
        <w:rPr>
          <w:rFonts w:hint="eastAsia"/>
          <w:sz w:val="15"/>
          <w:szCs w:val="15"/>
          <w:lang w:val="en-US" w:eastAsia="zh-CN"/>
        </w:rPr>
        <w:t>沪A08271A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