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郭利刚</w:t>
      </w:r>
      <w:r>
        <w:rPr>
          <w:rFonts w:hint="eastAsia"/>
          <w:sz w:val="15"/>
          <w:szCs w:val="15"/>
          <w:highlight w:val="none"/>
        </w:rPr>
        <w:t>，</w:t>
      </w:r>
      <w:r>
        <w:rPr>
          <w:rFonts w:hint="eastAsia"/>
          <w:sz w:val="15"/>
          <w:szCs w:val="15"/>
          <w:highlight w:val="none"/>
          <w:lang w:val="en-US" w:eastAsia="zh-CN"/>
        </w:rPr>
        <w:t>13012619880228301X</w:t>
      </w:r>
      <w:r>
        <w:rPr>
          <w:rFonts w:hint="eastAsia"/>
          <w:sz w:val="15"/>
          <w:szCs w:val="15"/>
        </w:rPr>
        <w:t xml:space="preserve">  </w:t>
      </w:r>
      <w:r>
        <w:rPr>
          <w:rFonts w:hint="eastAsia"/>
          <w:sz w:val="15"/>
          <w:szCs w:val="15"/>
          <w:lang w:val="en-US" w:eastAsia="zh-CN"/>
        </w:rPr>
        <w:t>冀AQ5108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