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白振峰</w:t>
      </w:r>
      <w:r>
        <w:rPr>
          <w:rFonts w:hint="eastAsia"/>
          <w:sz w:val="15"/>
          <w:szCs w:val="15"/>
          <w:highlight w:val="none"/>
        </w:rPr>
        <w:t>，</w:t>
      </w:r>
      <w:r>
        <w:rPr>
          <w:rFonts w:hint="eastAsia"/>
          <w:sz w:val="15"/>
          <w:szCs w:val="15"/>
          <w:highlight w:val="none"/>
          <w:lang w:val="en-US" w:eastAsia="zh-CN"/>
        </w:rPr>
        <w:t>130126198801023312</w:t>
      </w:r>
      <w:r>
        <w:rPr>
          <w:rFonts w:hint="eastAsia"/>
          <w:sz w:val="15"/>
          <w:szCs w:val="15"/>
        </w:rPr>
        <w:t xml:space="preserve">  </w:t>
      </w:r>
      <w:r>
        <w:rPr>
          <w:rFonts w:hint="eastAsia"/>
          <w:sz w:val="15"/>
          <w:szCs w:val="15"/>
          <w:lang w:val="en-US" w:eastAsia="zh-CN"/>
        </w:rPr>
        <w:t>冀A96C60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