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徐文强</w:t>
      </w:r>
      <w:r>
        <w:rPr>
          <w:rFonts w:hint="eastAsia"/>
          <w:sz w:val="15"/>
          <w:szCs w:val="15"/>
          <w:highlight w:val="none"/>
        </w:rPr>
        <w:t>，</w:t>
      </w:r>
      <w:r>
        <w:rPr>
          <w:rFonts w:hint="eastAsia"/>
          <w:sz w:val="15"/>
          <w:szCs w:val="15"/>
          <w:highlight w:val="none"/>
          <w:lang w:val="en-US" w:eastAsia="zh-CN"/>
        </w:rPr>
        <w:t>130126198712222715</w:t>
      </w:r>
      <w:r>
        <w:rPr>
          <w:rFonts w:hint="eastAsia"/>
          <w:sz w:val="15"/>
          <w:szCs w:val="15"/>
        </w:rPr>
        <w:t xml:space="preserve">  </w:t>
      </w:r>
      <w:r>
        <w:rPr>
          <w:rFonts w:hint="eastAsia"/>
          <w:sz w:val="15"/>
          <w:szCs w:val="15"/>
          <w:lang w:val="en-US" w:eastAsia="zh-CN"/>
        </w:rPr>
        <w:t>冀A2851V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